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6ED" w:rsidRPr="00AC66ED" w:rsidRDefault="00AC66ED" w:rsidP="00AC66ED">
      <w:pPr>
        <w:shd w:val="clear" w:color="auto" w:fill="FFFFFF"/>
        <w:spacing w:before="150" w:after="0" w:line="240" w:lineRule="auto"/>
        <w:outlineLvl w:val="3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</w:pPr>
      <w:r w:rsidRPr="00AC66E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lang w:eastAsia="ru-RU"/>
        </w:rPr>
        <w:t>Порядок предоставления социальных услуг в стационарной форме социального обслуживания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1. </w:t>
      </w:r>
      <w:proofErr w:type="gramStart"/>
      <w:r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</w:t>
      </w: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орядок предоставления социальных услуг в стационарной форме социального обслуживания (далее - Примерный порядок) определяет правила предоставления социальных услуг в стационарной форме социального обслуживания гражданам Российской Федерации, иностранным гражданам и лицам без гражданства, постоянно проживающим на территории Российской Федерации, беженцам,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социальные услуги (далее - получатели социальных</w:t>
      </w:r>
      <w:proofErr w:type="gram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услуг).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2.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услуг, которая направлена на улучшение условий их жизнедеятельности.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3. При определении необходимых гражданину видов социальных услуг, предоставляемых в стационарной форме социального обслуживания, учитывается нуждаемость получателя социальных услуг в получении таких услуг, характер обстоятельств, которые ухудшают или могут ухудшить условия его жизнедеятельности.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4. </w:t>
      </w: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Для рассмотрения вопроса о предоставлении социальных услуг в стационарной форме социального обслуживания подается в письменной или электронной форме заявление о предоставлении социальных услуг, составленное по форме, утвержденной приказом Министерства труда и социальной защиты Российской Федерации от 28 марта 2014 г. N 159н "Об утверждении формы заявления о предоставлении социальных услуг" (зарегистрирован Минюстом России 26 мая 2014 г. N 32430) (далее</w:t>
      </w:r>
      <w:proofErr w:type="gram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- заявление).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Получатели социальных услуг вправе участвовать в правоотношениях по предоставлению социальных услуг в стационарной форме социального обслуживания лично либо через законного представителя (далее представитель). При этом личное участие получателей социальных услуг не лишает их права иметь представителя,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5. </w:t>
      </w:r>
      <w:r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</w:t>
      </w: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орядок включает в себя следующие действия: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принятие заявления;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2) информирование о порядке предоставления социальных услуг в стационарной форме социального обслуживания, видах социальных услуг, сроках, условиях их предоставления, о тарифах на эти услуги и об их </w:t>
      </w: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стоимости для получателя социальных услуг, о возможности получения этих услуг бесплатно;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решения о предоставлении социальных услуг в стационарной форме социального обслуживания;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4) анализ представленных документов, необходимых для принятия решения о предоставлении социальных услуг в стационарной форме социального обслуживания, и принятие решения о предоставлении социальных услуг в стационарной форме социального обслуживания получателю социальных услуг либо решения об отказе в предоставлении социальных услуг в стационарной форме социального обслуживания в соответствии с частью 2 статьи 15 Федерального закона от 28 декабря 2013 г. N</w:t>
      </w:r>
      <w:proofErr w:type="gram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442-ФЗ "Об основах социального обслуживания граждан в Российской Федерации" (Собрание законодательства Российской Федерации 2013, N 52, ст. 7007; 2014, N 30, ст. 4257) (далее - Федеральный закон);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5) составление индивидуальной программы предоставления социальных услуг (далее - индивидуальная программа);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6) заключение договора о предоставлении социальных услуг в стационарной форме социального обслуживания между поставщиком социальных услуг и получателем социальных услуг (представителем) (далее - договор);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7) предоставление получателю социальных услуг социальных услуг в стационарной форме социального обслуживания в соответствии с заключенным договором;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8) прекращение предоставления социальных услуг в стационарной форме социального обслуживания в связи с возникновением оснований, предусмотренных пунктом 38 Примерного порядка.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6. Сроки выполнения действий, предусмотренных пунктом 5 Примерного порядка, не могут превышать сроки, установленные законодательными и иными нормативными правовыми актами Российской Федерации и субъектов Российской Федерации.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Время реализации действий, предусмотренных подпунктами 1 - 3 пункта 5 Примерного порядка, не должно превышать 15 минут с момента поступления заявления.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Срок реализации действий, предусмотренных подпунктом 4 пункта 5 Примерного порядка, не должен превышать 5 рабочих дней</w:t>
      </w: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</w:t>
      </w:r>
      <w:proofErr w:type="gramEnd"/>
      <w:r w:rsidRPr="00AC66ED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со дня подачи заявления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Срок реализации действий, предусмотренных подпунктом 5 пункта 5 Примерного порядка, не должен превышать 10 рабочих дней</w:t>
      </w: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2</w:t>
      </w:r>
      <w:proofErr w:type="gramEnd"/>
      <w:r w:rsidRPr="00AC66ED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со дня подачи заявления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Срок реализации действий, предусмотренных подпунктом 6 пункта 5 Примерного порядка, не должен превышать 1 суток</w:t>
      </w:r>
      <w:r w:rsidRPr="00AC66E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3</w:t>
      </w:r>
      <w:r w:rsidRPr="00AC66ED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 даты представления</w:t>
      </w:r>
      <w:proofErr w:type="gram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поставщику социальных услуг индивидуальной программы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7. Решение о предоставлении социальных услуг в стационарной форме социального обслуживания принимается на основании следующих документов: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документ, удостоверяющий личность получателя социальных услуг и представителя (при обращении представителя);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документ, подтверждающий полномочия представителя (при обращении представителя);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документ, подтверждающий место жительства и (или) пребывания, фактического проживания получателя социальных услуг и представителя (при обращении представителя);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4) документы (сведения), подтверждающие наличие у получателя социальных услуг обстоятельств, которые ухудшают или могут ухудшить условия его жизнедеятельности, послуживших </w:t>
      </w: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основанием</w:t>
      </w:r>
      <w:proofErr w:type="gram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для признания гражданина нуждающимся в социальных услугах в стационарной форме социального обслуживания;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5)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обслуживания, перечень которых утверждается в соответствии с частью 3 статьи 18 Федерального закона;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6)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7) индивидуальная программа (при наличии действующей индивидуальной программы);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8) иные документы, необходимые для предоставления социальных услуг в стационарной форме социального обслуживания, установленные в соответствии с порядком предоставления социальных услуг поставщиками </w:t>
      </w: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социальных услуг, утверждаемым согласно пункту 10 статьи 8 Федерального закона.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8. </w:t>
      </w: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Документы, необходимые для принятия решения о предоставлении социальных услуг в стационарной форме социального обслуживания, представляются получателем социальных услуг лично либо подлежат представлению в рамках межведомственного информационного взаимодействия в соответствии с требованиями статьи 7 Федерального закона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</w:t>
      </w:r>
      <w:proofErr w:type="gram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</w:t>
      </w: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2011, N 27, ст. 3880; N 49, ст. 7061; 2012, N 31, ст. 4322; 2013, N 27, ст. 3477).</w:t>
      </w:r>
      <w:proofErr w:type="gramEnd"/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9. Социальные услуги в стационарной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</w:t>
      </w: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4</w:t>
      </w:r>
      <w:proofErr w:type="gram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10. При заключении договора получатели социальных услуг (представители) должны быть ознакомлены с условиями предоставления социальных услуг в стационарной форме социального обслуживания, правилами внутреннего распорядка для получателей социальных услуг, получить информацию о своих правах, обязанностях, видах социальных услуг, которые будут им предоставлены, сроках, порядке их предоставления, стоимости оказания этих услуг.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11. Социальные услуги в стационарной форме социального обслуживания предоставляются получателям социальных услуг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12. Получателю социальных услуг предоставляются следующие виды социальных услуг в стационарной форме социального обслуживания: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социально-бытовые, направленные на поддержание жизнедеятельности получателей социальных услуг в быту;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социально-медицинские, направленные на поддержание и сохранение здоровья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  <w:proofErr w:type="gramEnd"/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социально-психологические, предусматривающие 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4) социально-педагогические, направленные на профилактику отклонений в поведении и развитии личности получателей социальных услуг, </w:t>
      </w: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5) социально-трудовые,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6) социально-правовые, направленные на оказание помощи в получении юридических услуг, в том числе бесплатно, в защите прав и законных интересов получателей социальных услуг;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13. В стационарной форме социального обслуживания обеспечивается предоставление социальных услуг в объеме услуг, включаемых в перечень социальных услуг, предоставляемых поставщиками социальных услуг, утверждаемый законом субъекта Российской Федерации</w:t>
      </w:r>
      <w:r w:rsidRPr="00AC66E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5</w:t>
      </w:r>
      <w:r w:rsidRPr="00AC66ED">
        <w:rPr>
          <w:rFonts w:ascii="Arial" w:eastAsia="Times New Roman" w:hAnsi="Arial" w:cs="Arial"/>
          <w:color w:val="373737"/>
          <w:sz w:val="23"/>
          <w:lang w:eastAsia="ru-RU"/>
        </w:rPr>
        <w:t> </w:t>
      </w: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(далее - Перечень).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14. Предоставление гражданам по их желанию, выраженному в письменной или электронной форме, за плату дополнительных социальных услуг в стационарной форме социального обслуживания, сверх социальных услуг, включенных в Перечень, осуществляется органами государственной власти субъектов Российской Федерации в рамках полномочий, установленных частью 2 статьи 11 Федерального закона.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15. </w:t>
      </w:r>
      <w:proofErr w:type="spell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Подушевой</w:t>
      </w:r>
      <w:proofErr w:type="spell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норматив финансирования социальных услуг, предоставляемых в стационарной форме социального обслуживания, устанавливается субъектом Российской Федерации в рамках реализации пункта 10 статьи 8 Федерального закона с учетом методических рекомендаций по его расчету, утверждаемых Правительством Российской Федерации в соответствии с пунктом 2 части 1 статьи 7 Федерального закона.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16. </w:t>
      </w: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При расчете объема предоставления социальных услуг в стационарной форме социального обслуживания учитываются нормы и нормативы, установленные в соответствии с пунктами 6, 7 части 2 статьи 7, пунктами 5, 6 статьи 8 Федерального закона, исходя из которых осуществляется предоставление социальных услуг в стационарной форме социального обслуживания, в том числе нормы питания, нормативы предоставления площади жилых помещений, оснащения мягким инвентарем.</w:t>
      </w:r>
      <w:proofErr w:type="gramEnd"/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 случае если соответствующие нормы и нормативы не установлены, объем предоставления социальной услуги в стационарной форме социального обслуживания не может быть меньше объема, предусмотренного получателю социальных услуг в индивидуальной программе и договоре.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17. Основными показателями, определяющими качество социальных услуг в стационарной форме социального обслуживания, предоставляемых получателям социальных услуг, являются: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поставщика социальных услуг;</w:t>
      </w:r>
      <w:proofErr w:type="gramEnd"/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обеспечение открытости документов, в соответствии с которыми поставщик социальных услуг осуществляет деятельность в сфере стационарного социального обслуживания (устав (положение); руководства, правила, инструкции,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численность получателей социальных услуг, охваченных социальными услугами у данного поставщика социальных услуг;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иные условия, влияющие на качество социальных услуг, предоставляемых получателям социальных услуг);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5) укомплектованность штата поставщика социальных услуг специалистами и их квалификация;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6) наличие специального и технического оснащения (оборудование, приборы, аппаратура) помещений поставщика социальных услуг;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7) состояние информации о порядке и правилах предоставления социальных услуг, организации стационарного социального обслуживания;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8) повышение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социального обслуживания);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9) иные показатели, определяемые в порядке предоставления социальных услуг в соответствии с пунктом 10 статьи 8 Федерального закона.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18. При оценке качества социальных услуг в стационарной форме социального обслуживания, предоставляемых получателям социальных услуг, используются следующие критерии: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полнота предоставления социальной услуги в стационарной форме социального обслуживания, в том числе с учетом объема предоставляемых социальных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своевременность предоставления социальной услуги, в том числе с учетом степени нуждаемости получателя социальных услуг;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19. Оценка качества оказания социально-бытовых услуг включает в себя оценку: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проживания получателей социальных услуг, а также учитывать, по возможности,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помещений, предоставляемых для предоставления социальных услуг,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санитарно-гигиеническим нормам и требованиям;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мебели и оборудования,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4) мягкого инвентаря, предоставляемого получателям социальных услуг, который должен быть удобным, соответствовать росту и размерам получателей социальных услуг, отвечать санитарно-гигиеническим нормам и требованиям и, по возможности, их запросам по фасону и расцветке;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5) питания, которое должно быть приготовлено из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нормам;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6) оказания услуг, предоставляемых получателям социальных услуг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 страданий и неудобств;</w:t>
      </w:r>
      <w:proofErr w:type="gramEnd"/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7) иных социально-бытовых услуг, предоставляемых поставщиком социальных услуг.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20. Оценка качества оказания социально-медицинских услуг включает в себя оценку: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своевременного и в необходимом объеме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2) проведения систематического наблюдения за получателями социальных услуг для выявления отклонений в состоянии их здоровья;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аккуратностью и осторожностью без причинения какого-либо вреда получателям социальных услуг;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5) оказания помощи в выполнении занятий по адаптивной физической культуре, которая должна обеспечивать овладение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6) иных социально-медицинских услуг, предоставляемых поставщиком социальных услуг.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21. Оценка качества социально-психологических услуг включает в себя оценку: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социально-психологического консультирования, которое должно обеспечить оказание получателям социальных услуг квалифицированной помощи по налаживанию межличностных отношений, в том числе для предупреждения и преодоления семейных конфликтов;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психологической помощи, оказание которой должно помочь получателю социальных услуг раскрыть и мобилизовать внутренние ресурсы, решить возникшие социально-психологические проблемы;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дискомфорта, личностного (</w:t>
      </w:r>
      <w:proofErr w:type="spell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внутриличностного</w:t>
      </w:r>
      <w:proofErr w:type="spell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4) иных социально-психологических услуг, предоставляемых поставщиком социальных услуг.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22. Оценка качества социально-педагогических услуг включает в себя оценку: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1) социально-педагогической коррекции, осуществление которой должно обеспечивать оказание квалифицированной и эффективной педагогической </w:t>
      </w: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помощи</w:t>
      </w:r>
      <w:proofErr w:type="gram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в которой нуждаются получатели социальных услуг, получающие социальные услуги в стационарной форме социального обслуживания (в форме бесед, разъяснений, рекомендаций);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2) формирования позитивных интересов получателей социальных услуг, организацию их досуга, которые должны обеспечивать удовлетворение </w:t>
      </w:r>
      <w:proofErr w:type="spell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социокультурных</w:t>
      </w:r>
      <w:proofErr w:type="spell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и духовных запросов получателей социальных услуг (как взрослых, так и детей), расширение кругозора, сферы общения, повышение творческой активности получателей социальных услуг;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иных социально-педагогических услуг, предоставляемых поставщиком социальных услуг.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23. Оценка качества социально-трудовых услуг включает в себя оценку: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качества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инвалидами, способствуют успешному и результативному</w:t>
      </w:r>
      <w:proofErr w:type="gram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проведению воспитательной работы и обучению;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проводимых мероприятий по оказанию помощи в трудоустройстве;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4) иных социально-трудовых услуг, предоставляемых поставщиком социальных услуг.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24. Оценка качества социально-правовых услуг включает в себя оценку: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оказания помощи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зависимости от их предназначения, изложение и написание (при необходимости) текста документов или заполнение форменных бланков, написание сопроводительных писем;</w:t>
      </w:r>
      <w:proofErr w:type="gramEnd"/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правовых проблем;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иных социально-правовых услуг, предоставляемых поставщиком социальных услуг.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25. Оценка качества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включает в себя оценку: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самостоятельно пользоваться этими средствами;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социальных услуг с обществом;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4) обучения получателей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5) иных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предоставляемых поставщиком социальных услуг.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26. Показатели качества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социальных услуг.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27. Условия предоставления социальных услуг в стационарной форме социального обслуживания устанавливаются в соответствии с пунктом 5 части 3 статьи 27 Федерального закона, с учетом условий, установленных получателю социальных услуг в индивидуальной программе и договоре.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28. При получении социальных услуг в стационарной форме социального обслуживания получатели социальных услуг имеют право </w:t>
      </w: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на</w:t>
      </w:r>
      <w:proofErr w:type="gram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: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уважительное и гуманное отношение;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выбор поставщика социальных услуг;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3) получение бесплатно в доступной форме информации о своих правах и обязанностях, видах социальных услуг, сроках, порядке и об условиях их предоставления, о тарифах на эти услуги и об их стоимости, о возможности получения этих услуг бесплатно;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4) отказ от предоставления социальных услуг;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5) обеспечение условий пребывания в организациях социального обслуживания, соответствующих санитарно-гигиеническим требованиям, а также на надлежащий уход;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родственниками и другими лицами в дневное и вечернее время;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7) конфиденциальность информации личного характера, ставшей известной при оказании услуг;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8) защиту своих прав и законных интересов.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29. Получатель социальных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30. При предоставлении социальных услуг в стационарной форме социального обслуживания поставщик социальных услуг обязан: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соблюдать права человека и гражданина;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обеспечивать неприкосновенность личности и безопасность получателей социальных услуг;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обеспечить ознакомление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4) обеспечить сохранность личных вещей и ценностей получателей социальных услуг;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6) информировать получателей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7) обеспечить получателям социальных услуг условия пребывания, соответствующие санитарно-гигиеническим требованиям, а также надлежащий уход;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8)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9) исполнять иные обязанности, связанные с реализацией прав получателей социальных услуг на социальные услуги в стационарной форме социального обслуживания.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31. Поставщик социальных услуг вправе отказать получателю социальных услуг в предоставлении социальных услуг в стационарной форме социального обслуживания, в том числе временно, в связи с наличием у него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</w:t>
      </w: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6</w:t>
      </w:r>
      <w:proofErr w:type="gram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, а также в случае </w:t>
      </w:r>
      <w:proofErr w:type="spell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непредоставления</w:t>
      </w:r>
      <w:proofErr w:type="spell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получателем социальных услуг в соответствии с нормативными правовыми актами субъекта Российской Федерации сведений и документов, необходимых для предоставления социальных услуг в соответствии с пунктом 1 статьи 10 Федерального закона</w:t>
      </w: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7</w:t>
      </w:r>
      <w:proofErr w:type="gram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, которые получатель социальной услуги в соответствии с действующим законодательством обязан предоставить лично.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32. Результатом предоставления социальных услуг в стационарной форме социального обслуживания является улучшение условий жизнедеятельности получателя социальных услуг.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33. Социальные услуги в стационарной форме социального обслуживания предоставляются бесплатно, за плату или частичную плату.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Решение об условиях оказания социальных услуг в стационарной форме социального обслуживания (бесплатно, за плату или частичную плату) принимается на основании представляемых получателем социальных услуг (представителем) документов, с учетом среднедушевого дохода получателя социальных услуг, величины прожиточного минимума, установленного в субъекте Российской Федерации, а также тарифов на социальные услуги.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Расчет среднедушевого дохода в отношении получателя социальных услуг, за исключением лиц, указанных в пункте 34 Примерного порядка,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</w:t>
      </w: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власти</w:t>
      </w:r>
      <w:proofErr w:type="gram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утверждаемым в соответствии с пунктом 10 статьи 8 Федерального закона, о составе семьи, наличии (отсутствии) доходов членов семьи или одиноко проживающего гражданина и принадлежащем им (ему) </w:t>
      </w: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имуществе</w:t>
      </w:r>
      <w:proofErr w:type="gram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на праве собственности.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lastRenderedPageBreak/>
        <w:t>34. Социальные услуги в стационарной форме социального обслуживания предоставляются бесплатно: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несовершеннолетним детям</w:t>
      </w:r>
      <w:r w:rsidRPr="00AC66E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8</w:t>
      </w: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лицам, пострадавшим в результате чрезвычайных ситуаций, вооруженных межнациональных (межэтнических) конфликтов</w:t>
      </w: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9</w:t>
      </w:r>
      <w:proofErr w:type="gram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3) иным категориям граждан, определенным нормативными правовыми актами Субъектов </w:t>
      </w:r>
      <w:proofErr w:type="gram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Российской</w:t>
      </w:r>
      <w:proofErr w:type="gram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Федерации</w:t>
      </w:r>
      <w:r w:rsidRPr="00AC66E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10</w:t>
      </w: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35.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социальной услуги, рассчитанного в соответствии с частью 4 статьи 31 Федерального закона.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36. Порядок утверждения тарифов на социальные услуги на основании </w:t>
      </w:r>
      <w:proofErr w:type="spellStart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подушевых</w:t>
      </w:r>
      <w:proofErr w:type="spellEnd"/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 xml:space="preserve"> нормативов финансирования социальных услуг устанавливается в соответствии с пунктом 11 статьи 8 Федерального закона.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37. Плата за предоставление социальных услуг в стационарной форме социального обслуживания производится в соответствии с договором.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38. Основаниями прекращения предоставления социальных услуг в стационарной форме социального обслуживания являются: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1) письменное заявление получателя социальных услуг об отказе в предоставлении социальных услуг в стационарной форме социального обслуживания</w:t>
      </w:r>
      <w:r w:rsidRPr="00AC66E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11</w:t>
      </w: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2) окончание срока предоставления социальных услуг в соответствии с индивидуальной программой и (или) истечение срока действия договора</w:t>
      </w:r>
      <w:r w:rsidRPr="00AC66E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12</w:t>
      </w: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3) нарушение получателем социальных услуг (представителем) условий, предусмотренных договором</w:t>
      </w:r>
      <w:r w:rsidRPr="00AC66E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13</w:t>
      </w: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4) смерть получателя социальных услуг или ликвидации (прекращение деятельности) поставщика социальных услуг;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5) решение суда о признании получателя социальных услуг безвестно отсутствующим или умершим;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6) осуждение получателя социальных услуг к отбыванию наказания в виде лишения свободы;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7)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</w:t>
      </w:r>
      <w:r w:rsidRPr="00AC66ED">
        <w:rPr>
          <w:rFonts w:ascii="Arial" w:eastAsia="Times New Roman" w:hAnsi="Arial" w:cs="Arial"/>
          <w:color w:val="373737"/>
          <w:sz w:val="23"/>
          <w:szCs w:val="23"/>
          <w:vertAlign w:val="superscript"/>
          <w:lang w:eastAsia="ru-RU"/>
        </w:rPr>
        <w:t>14</w:t>
      </w:r>
      <w:r w:rsidRPr="00AC66ED">
        <w:rPr>
          <w:rFonts w:ascii="Arial" w:eastAsia="Times New Roman" w:hAnsi="Arial" w:cs="Arial"/>
          <w:color w:val="373737"/>
          <w:sz w:val="23"/>
          <w:szCs w:val="23"/>
          <w:lang w:eastAsia="ru-RU"/>
        </w:rPr>
        <w:t>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lastRenderedPageBreak/>
        <w:t>1</w:t>
      </w:r>
      <w:r w:rsidRPr="00AC66ED">
        <w:rPr>
          <w:rFonts w:ascii="Arial" w:eastAsia="Times New Roman" w:hAnsi="Arial" w:cs="Arial"/>
          <w:i/>
          <w:iCs/>
          <w:color w:val="373737"/>
          <w:sz w:val="23"/>
          <w:lang w:eastAsia="ru-RU"/>
        </w:rPr>
        <w:t> </w:t>
      </w: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2 статьи 15 Федерального закона.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2</w:t>
      </w:r>
      <w:r w:rsidRPr="00AC66ED">
        <w:rPr>
          <w:rFonts w:ascii="Arial" w:eastAsia="Times New Roman" w:hAnsi="Arial" w:cs="Arial"/>
          <w:i/>
          <w:iCs/>
          <w:color w:val="373737"/>
          <w:sz w:val="23"/>
          <w:lang w:eastAsia="ru-RU"/>
        </w:rPr>
        <w:t> </w:t>
      </w: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4 статьи 16 Федерального закона.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3</w:t>
      </w:r>
      <w:r w:rsidRPr="00AC66ED">
        <w:rPr>
          <w:rFonts w:ascii="Arial" w:eastAsia="Times New Roman" w:hAnsi="Arial" w:cs="Arial"/>
          <w:i/>
          <w:iCs/>
          <w:color w:val="373737"/>
          <w:sz w:val="23"/>
          <w:lang w:eastAsia="ru-RU"/>
        </w:rPr>
        <w:t> </w:t>
      </w: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1 статьи 17 Федерального закона.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4</w:t>
      </w:r>
      <w:r w:rsidRPr="00AC66ED">
        <w:rPr>
          <w:rFonts w:ascii="Arial" w:eastAsia="Times New Roman" w:hAnsi="Arial" w:cs="Arial"/>
          <w:i/>
          <w:iCs/>
          <w:color w:val="373737"/>
          <w:sz w:val="23"/>
          <w:lang w:eastAsia="ru-RU"/>
        </w:rPr>
        <w:t> </w:t>
      </w: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Примерная форма договора утверждается в соответствии с частью 13 пункта 2 статьи 7 Федерального закона.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5</w:t>
      </w:r>
      <w:r w:rsidRPr="00AC66ED">
        <w:rPr>
          <w:rFonts w:ascii="Arial" w:eastAsia="Times New Roman" w:hAnsi="Arial" w:cs="Arial"/>
          <w:i/>
          <w:iCs/>
          <w:color w:val="373737"/>
          <w:sz w:val="23"/>
          <w:lang w:eastAsia="ru-RU"/>
        </w:rPr>
        <w:t> </w:t>
      </w: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Пункт 9 статьи 8 Федерального закона.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6</w:t>
      </w:r>
      <w:r w:rsidRPr="00AC66ED">
        <w:rPr>
          <w:rFonts w:ascii="Arial" w:eastAsia="Times New Roman" w:hAnsi="Arial" w:cs="Arial"/>
          <w:i/>
          <w:iCs/>
          <w:color w:val="373737"/>
          <w:sz w:val="23"/>
          <w:lang w:eastAsia="ru-RU"/>
        </w:rPr>
        <w:t> </w:t>
      </w: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3 статьи 18 Федерального закона.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7</w:t>
      </w:r>
      <w:r w:rsidRPr="00AC66ED">
        <w:rPr>
          <w:rFonts w:ascii="Arial" w:eastAsia="Times New Roman" w:hAnsi="Arial" w:cs="Arial"/>
          <w:i/>
          <w:iCs/>
          <w:color w:val="373737"/>
          <w:sz w:val="23"/>
          <w:lang w:eastAsia="ru-RU"/>
        </w:rPr>
        <w:t> </w:t>
      </w: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2 статьи 27 Федерального закона.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8</w:t>
      </w:r>
      <w:r w:rsidRPr="00AC66ED">
        <w:rPr>
          <w:rFonts w:ascii="Arial" w:eastAsia="Times New Roman" w:hAnsi="Arial" w:cs="Arial"/>
          <w:i/>
          <w:iCs/>
          <w:color w:val="373737"/>
          <w:sz w:val="23"/>
          <w:lang w:eastAsia="ru-RU"/>
        </w:rPr>
        <w:t> </w:t>
      </w: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1 статьи 31 Федерального закона.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9</w:t>
      </w:r>
      <w:r w:rsidRPr="00AC66ED">
        <w:rPr>
          <w:rFonts w:ascii="Arial" w:eastAsia="Times New Roman" w:hAnsi="Arial" w:cs="Arial"/>
          <w:i/>
          <w:iCs/>
          <w:color w:val="373737"/>
          <w:sz w:val="23"/>
          <w:lang w:eastAsia="ru-RU"/>
        </w:rPr>
        <w:t> </w:t>
      </w: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1 статьи 31 Федерального закона.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10</w:t>
      </w:r>
      <w:r w:rsidRPr="00AC66ED">
        <w:rPr>
          <w:rFonts w:ascii="Arial" w:eastAsia="Times New Roman" w:hAnsi="Arial" w:cs="Arial"/>
          <w:i/>
          <w:iCs/>
          <w:color w:val="373737"/>
          <w:sz w:val="23"/>
          <w:lang w:eastAsia="ru-RU"/>
        </w:rPr>
        <w:t> </w:t>
      </w: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3 статьи 31 Федерального закона.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11</w:t>
      </w:r>
      <w:r w:rsidRPr="00AC66ED">
        <w:rPr>
          <w:rFonts w:ascii="Arial" w:eastAsia="Times New Roman" w:hAnsi="Arial" w:cs="Arial"/>
          <w:i/>
          <w:iCs/>
          <w:color w:val="373737"/>
          <w:sz w:val="23"/>
          <w:lang w:eastAsia="ru-RU"/>
        </w:rPr>
        <w:t> </w:t>
      </w: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Статья 18 Федерального закона.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12</w:t>
      </w:r>
      <w:r w:rsidRPr="00AC66ED">
        <w:rPr>
          <w:rFonts w:ascii="Arial" w:eastAsia="Times New Roman" w:hAnsi="Arial" w:cs="Arial"/>
          <w:i/>
          <w:iCs/>
          <w:color w:val="373737"/>
          <w:sz w:val="23"/>
          <w:lang w:eastAsia="ru-RU"/>
        </w:rPr>
        <w:t> </w:t>
      </w: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Часть 1 статьи 16 Федерального закона.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13</w:t>
      </w:r>
      <w:r w:rsidRPr="00AC66ED">
        <w:rPr>
          <w:rFonts w:ascii="Arial" w:eastAsia="Times New Roman" w:hAnsi="Arial" w:cs="Arial"/>
          <w:i/>
          <w:iCs/>
          <w:color w:val="373737"/>
          <w:sz w:val="23"/>
          <w:lang w:eastAsia="ru-RU"/>
        </w:rPr>
        <w:t> </w:t>
      </w: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Пункт 2 части 1 статьи 11 Федерального закона.</w:t>
      </w:r>
    </w:p>
    <w:p w:rsidR="00AC66ED" w:rsidRPr="00AC66ED" w:rsidRDefault="00AC66ED" w:rsidP="00AC66ED">
      <w:pPr>
        <w:shd w:val="clear" w:color="auto" w:fill="FFFFFF"/>
        <w:spacing w:before="240" w:after="240" w:line="300" w:lineRule="atLeast"/>
        <w:ind w:left="840"/>
        <w:rPr>
          <w:rFonts w:ascii="Arial" w:eastAsia="Times New Roman" w:hAnsi="Arial" w:cs="Arial"/>
          <w:color w:val="373737"/>
          <w:sz w:val="23"/>
          <w:szCs w:val="23"/>
          <w:lang w:eastAsia="ru-RU"/>
        </w:rPr>
      </w:pP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vertAlign w:val="superscript"/>
          <w:lang w:eastAsia="ru-RU"/>
        </w:rPr>
        <w:t>14</w:t>
      </w:r>
      <w:r w:rsidRPr="00AC66ED">
        <w:rPr>
          <w:rFonts w:ascii="Arial" w:eastAsia="Times New Roman" w:hAnsi="Arial" w:cs="Arial"/>
          <w:i/>
          <w:iCs/>
          <w:color w:val="373737"/>
          <w:sz w:val="23"/>
          <w:lang w:eastAsia="ru-RU"/>
        </w:rPr>
        <w:t> </w:t>
      </w:r>
      <w:r w:rsidRPr="00AC66ED">
        <w:rPr>
          <w:rFonts w:ascii="Arial" w:eastAsia="Times New Roman" w:hAnsi="Arial" w:cs="Arial"/>
          <w:i/>
          <w:iCs/>
          <w:color w:val="373737"/>
          <w:sz w:val="23"/>
          <w:szCs w:val="23"/>
          <w:lang w:eastAsia="ru-RU"/>
        </w:rPr>
        <w:t>Статья 18 Федерального закона.</w:t>
      </w:r>
    </w:p>
    <w:p w:rsidR="00AC66ED" w:rsidRPr="00AC66ED" w:rsidRDefault="00AC66ED" w:rsidP="00AC66E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73737"/>
          <w:sz w:val="18"/>
          <w:szCs w:val="18"/>
          <w:lang w:eastAsia="ru-RU"/>
        </w:rPr>
      </w:pPr>
    </w:p>
    <w:p w:rsidR="009A46E2" w:rsidRDefault="009A46E2"/>
    <w:sectPr w:rsidR="009A46E2" w:rsidSect="009A46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66ED"/>
    <w:rsid w:val="009A46E2"/>
    <w:rsid w:val="00AC6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6E2"/>
  </w:style>
  <w:style w:type="paragraph" w:styleId="1">
    <w:name w:val="heading 1"/>
    <w:basedOn w:val="a"/>
    <w:link w:val="10"/>
    <w:uiPriority w:val="9"/>
    <w:qFormat/>
    <w:rsid w:val="00AC6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C66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AC66E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C66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AC66E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C66ED"/>
  </w:style>
  <w:style w:type="character" w:styleId="a3">
    <w:name w:val="Hyperlink"/>
    <w:basedOn w:val="a0"/>
    <w:uiPriority w:val="99"/>
    <w:semiHidden/>
    <w:unhideWhenUsed/>
    <w:rsid w:val="00AC66ED"/>
    <w:rPr>
      <w:color w:val="0000FF"/>
      <w:u w:val="single"/>
    </w:rPr>
  </w:style>
  <w:style w:type="character" w:customStyle="1" w:styleId="comments">
    <w:name w:val="comments"/>
    <w:basedOn w:val="a0"/>
    <w:rsid w:val="00AC66ED"/>
  </w:style>
  <w:style w:type="character" w:customStyle="1" w:styleId="tik-text">
    <w:name w:val="tik-text"/>
    <w:basedOn w:val="a0"/>
    <w:rsid w:val="00AC66ED"/>
  </w:style>
  <w:style w:type="paragraph" w:styleId="a4">
    <w:name w:val="Normal (Web)"/>
    <w:basedOn w:val="a"/>
    <w:uiPriority w:val="99"/>
    <w:semiHidden/>
    <w:unhideWhenUsed/>
    <w:rsid w:val="00AC6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66ED"/>
    <w:rPr>
      <w:b/>
      <w:bCs/>
    </w:rPr>
  </w:style>
  <w:style w:type="character" w:customStyle="1" w:styleId="b-share-btnwrap">
    <w:name w:val="b-share-btn__wrap"/>
    <w:basedOn w:val="a0"/>
    <w:rsid w:val="00AC66ED"/>
  </w:style>
  <w:style w:type="character" w:customStyle="1" w:styleId="b-share-counter">
    <w:name w:val="b-share-counter"/>
    <w:basedOn w:val="a0"/>
    <w:rsid w:val="00AC66ED"/>
  </w:style>
  <w:style w:type="paragraph" w:styleId="a6">
    <w:name w:val="Balloon Text"/>
    <w:basedOn w:val="a"/>
    <w:link w:val="a7"/>
    <w:uiPriority w:val="99"/>
    <w:semiHidden/>
    <w:unhideWhenUsed/>
    <w:rsid w:val="00AC6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C66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0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0487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5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0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500346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70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0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083932">
                      <w:marLeft w:val="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4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1320586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11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266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4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4535451">
          <w:marLeft w:val="24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09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681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33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4507</Words>
  <Characters>25692</Characters>
  <Application>Microsoft Office Word</Application>
  <DocSecurity>0</DocSecurity>
  <Lines>214</Lines>
  <Paragraphs>60</Paragraphs>
  <ScaleCrop>false</ScaleCrop>
  <Company>WolfishLair</Company>
  <LinksUpToDate>false</LinksUpToDate>
  <CharactersWithSpaces>30139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2015-10-29T11:39:00Z</dcterms:created>
  <dcterms:modified xsi:type="dcterms:W3CDTF">2015-10-29T11:41:00Z</dcterms:modified>
</cp:coreProperties>
</file>